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81" w:rsidRPr="00851981" w:rsidRDefault="00851981" w:rsidP="00851981">
      <w:pPr>
        <w:spacing w:before="100" w:beforeAutospacing="1" w:after="100" w:afterAutospacing="1" w:line="240" w:lineRule="auto"/>
        <w:jc w:val="center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bookmarkStart w:id="0" w:name="_GoBack"/>
      <w:bookmarkEnd w:id="0"/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Пояснения к бухгалтерскому балансу за 2024 год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Общие сведения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 xml:space="preserve">Общество с ограниченной ответственностью (ООО) «Снежный Лотос» зарегистрировано ИФНС № 2 по г. Санкт-Петербургу 15.07.2006. Свидетельство о </w:t>
      </w:r>
      <w:proofErr w:type="spellStart"/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госрегистрации</w:t>
      </w:r>
      <w:proofErr w:type="spellEnd"/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 xml:space="preserve"> № 987654321, ИНН 0987654321, КПП 784512369, юридический адрес: г. Санкт-Петербург, ул. Северная, 15.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Бухгалтерский баланс организации сформирован в соответствии с действующими в Российской Федерации правилами и требованиями бухгалтерского учета и отчетности: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Уставный капитал организации: 6 000 000 (шесть миллионов) рублей, оплачен полностью.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Количество учредителей: два физических лица — И.В. Смирнов и А.А. Иванов и одно юридическое лицо — ООО «Зерно».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Основной вид деятельности: производство хлебобулочных изделий ОКВЭД 10.71.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Численность сотрудников по состоянию на 31.12.2024 составила 180 человек.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Филиалы, представительства и обособленные подразделения отсутствуют.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Основные положения учетной политики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Учетная политика ООО «Снежный Лотос» утверждена приказом директора Иванова А.А. № 210 от 20.12.2023. Применяется линейный метод амортизации. Оценка материально-производственных запасов и готовой продукции осуществляется по фактической себестоимости. Финансовый результат от продажи продукции, работ, услуг, товаров определяется по отгрузке.</w:t>
      </w:r>
    </w:p>
    <w:p w:rsidR="00851981" w:rsidRPr="00851981" w:rsidRDefault="00851981" w:rsidP="00851981">
      <w:pPr>
        <w:numPr>
          <w:ilvl w:val="0"/>
          <w:numId w:val="5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Информация об аффилированных лицах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Иванов Алексей Александрович — учредитель, 55% доли собственности в УК, занимает должность генерального директора.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Смирнов Игорь Владимирович — учредитель, 25% доли собственности в УК.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ООО «Зерно» — учредитель, 20% доли собственности в УК, российская организация (учредители — М.М. Михайлов и Н.Н. Николаев).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В отчетном периоде со связанными сторонами были совершены следующие финансовые операции:</w:t>
      </w:r>
    </w:p>
    <w:p w:rsidR="00851981" w:rsidRPr="00851981" w:rsidRDefault="00851981" w:rsidP="00851981">
      <w:pPr>
        <w:numPr>
          <w:ilvl w:val="0"/>
          <w:numId w:val="6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18.03.2024 общим собранием учредителей ООО «Снежный Лотос» была рассмотрена и утверждена финансовая отчетность организации за 2023 год. Собрание постановило выплатить по итогам 2023 года прибыль в размере 4 100 000 рублей учредителям, исходя из их доли в уставном капитале. Выплата (с учетом удержания НДФЛ по двум физлицам) была произведена 05.04.2024;</w:t>
      </w:r>
    </w:p>
    <w:p w:rsidR="00851981" w:rsidRPr="00851981" w:rsidRDefault="00851981" w:rsidP="00851981">
      <w:pPr>
        <w:numPr>
          <w:ilvl w:val="0"/>
          <w:numId w:val="6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22.05.2024 ООО «Снежный Лотос» заключило с учредителем ООО «Зерно» Н.Н. Николаевым договор о приобретении нежилого помещения стоимостью 6 300 000 рублей. Стоимость сделки обусловлена проведением независимой оценки стоимости объекта недвижимости. Расчеты по договору были произведены в полном объеме 10.06.2024, подписан акт приема-передачи недвижимости.</w:t>
      </w:r>
    </w:p>
    <w:p w:rsidR="00851981" w:rsidRPr="00851981" w:rsidRDefault="00851981" w:rsidP="00851981">
      <w:pPr>
        <w:numPr>
          <w:ilvl w:val="0"/>
          <w:numId w:val="7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Основные показатели деятельности организации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В отчетном году выручка составила:</w:t>
      </w:r>
    </w:p>
    <w:p w:rsidR="00851981" w:rsidRPr="00851981" w:rsidRDefault="00851981" w:rsidP="00851981">
      <w:pPr>
        <w:numPr>
          <w:ilvl w:val="0"/>
          <w:numId w:val="8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по основному виду деятельности «производство и реализация хлебобулочных изделий» — 420 150 300 рублей;</w:t>
      </w:r>
    </w:p>
    <w:p w:rsidR="00851981" w:rsidRPr="00851981" w:rsidRDefault="00851981" w:rsidP="00851981">
      <w:pPr>
        <w:numPr>
          <w:ilvl w:val="0"/>
          <w:numId w:val="8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по прочим видам деятельности — 780 450 рублей;</w:t>
      </w:r>
    </w:p>
    <w:p w:rsidR="00851981" w:rsidRPr="00851981" w:rsidRDefault="00851981" w:rsidP="00851981">
      <w:pPr>
        <w:numPr>
          <w:ilvl w:val="0"/>
          <w:numId w:val="8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прочие доходы — 210 500 рублей (реализация ОС).</w:t>
      </w:r>
    </w:p>
    <w:p w:rsidR="00851981" w:rsidRPr="00851981" w:rsidRDefault="00851981" w:rsidP="00851981">
      <w:pPr>
        <w:spacing w:before="100" w:beforeAutospacing="1"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Затраты на производство и реализацию продукции: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приобретение основных средств — 1 600 000 рублей;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амортизация ОС — 50 100 рублей;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приобретение сырья — 125 300 500 рублей;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фонд оплаты труда — 145 200 000 рублей;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командировочные расходы — 250 000 рублей;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аренда помещений — 9 100 000 рублей;</w:t>
      </w:r>
    </w:p>
    <w:p w:rsidR="00851981" w:rsidRPr="00851981" w:rsidRDefault="00851981" w:rsidP="00851981">
      <w:pPr>
        <w:numPr>
          <w:ilvl w:val="0"/>
          <w:numId w:val="9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t>прочие расходы — 600 000 рублей.</w:t>
      </w:r>
    </w:p>
    <w:p w:rsidR="00851981" w:rsidRPr="00851981" w:rsidRDefault="00851981" w:rsidP="00851981">
      <w:pPr>
        <w:numPr>
          <w:ilvl w:val="0"/>
          <w:numId w:val="10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lastRenderedPageBreak/>
        <w:t>Расшифровка статей бухгалтерского баланса на 31.12.2024 (на примере кредиторской задолженности)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Наличие и движение дебиторской задолженности: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943"/>
        <w:gridCol w:w="943"/>
        <w:gridCol w:w="1295"/>
        <w:gridCol w:w="985"/>
        <w:gridCol w:w="1295"/>
        <w:gridCol w:w="789"/>
        <w:gridCol w:w="1273"/>
        <w:gridCol w:w="524"/>
        <w:gridCol w:w="490"/>
        <w:gridCol w:w="490"/>
      </w:tblGrid>
      <w:tr w:rsidR="00851981" w:rsidRPr="00851981" w:rsidTr="00851981">
        <w:trPr>
          <w:gridAfter w:val="6"/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  <w:t>На начало года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  <w:t>Изменения за период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  <w:t>На конец года</w:t>
            </w:r>
          </w:p>
        </w:tc>
      </w:tr>
      <w:tr w:rsidR="00851981" w:rsidRPr="00851981" w:rsidTr="00851981">
        <w:trPr>
          <w:gridAfter w:val="4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b/>
                <w:bCs/>
                <w:color w:val="40404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Учтенная по договорам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Резерв сомнительных долгов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Поступило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Выбыло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Остаток</w:t>
            </w:r>
          </w:p>
        </w:tc>
      </w:tr>
      <w:tr w:rsidR="00851981" w:rsidRPr="00851981" w:rsidTr="00851981">
        <w:trPr>
          <w:gridAfter w:val="3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В тысячах рублей с десятичным знаком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По договорам (сделкам)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Штрафы, пени, неустойки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Погашено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Списано на фин. результат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Списано на резерв сомнительных долгов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Текущая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Просроченная</w:t>
            </w:r>
          </w:p>
        </w:tc>
      </w:tr>
      <w:tr w:rsidR="00851981" w:rsidRPr="00851981" w:rsidTr="0085198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Всего краткосрочная дебиторская задолженность, в том числе: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2024 г.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28 500,0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(250,0)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16 800,0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(26 000,0)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(120,0)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(50,0)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18 000,0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600,0</w:t>
            </w:r>
          </w:p>
        </w:tc>
      </w:tr>
      <w:tr w:rsidR="00851981" w:rsidRPr="00851981" w:rsidTr="0085198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покупателей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2024 г.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22 000,0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(250,0)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12 000,0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(18 000,0)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(100,0)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(50,0)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15 000,0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600,0</w:t>
            </w:r>
          </w:p>
        </w:tc>
      </w:tr>
      <w:tr w:rsidR="00851981" w:rsidRPr="00851981" w:rsidTr="0085198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2024 г.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6 500,0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4 800,0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(8 000,0)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(20,0)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3 000,0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</w:tr>
      <w:tr w:rsidR="00851981" w:rsidRPr="00851981" w:rsidTr="0085198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Всего долгосрочная дебиторская задолженность, в том числе: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2024 г.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55 000,0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55 000,0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</w:tr>
      <w:tr w:rsidR="00851981" w:rsidRPr="00851981" w:rsidTr="0085198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по беспроцентным займам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2024 г.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45 000,0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45 000,0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-</w:t>
            </w:r>
          </w:p>
        </w:tc>
      </w:tr>
      <w:tr w:rsidR="00851981" w:rsidRPr="00851981" w:rsidTr="0085198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ИТОГО дебиторская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2024 г.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33 500,0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(250,0)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16 800,0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(26 000,0)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(120,0)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(50,0)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73 000,0</w:t>
            </w:r>
          </w:p>
        </w:tc>
        <w:tc>
          <w:tcPr>
            <w:tcW w:w="0" w:type="auto"/>
            <w:vAlign w:val="center"/>
            <w:hideMark/>
          </w:tcPr>
          <w:p w:rsidR="00851981" w:rsidRPr="00851981" w:rsidRDefault="00851981" w:rsidP="00851981">
            <w:pPr>
              <w:spacing w:after="0" w:line="240" w:lineRule="auto"/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</w:pPr>
            <w:r w:rsidRPr="00851981">
              <w:rPr>
                <w:rFonts w:ascii="Inter" w:eastAsia="Times New Roman" w:hAnsi="Inter"/>
                <w:color w:val="404040"/>
                <w:sz w:val="24"/>
                <w:szCs w:val="24"/>
                <w:lang w:val="ru-RU" w:eastAsia="ru-RU"/>
              </w:rPr>
              <w:t>600,0</w:t>
            </w:r>
          </w:p>
        </w:tc>
      </w:tr>
    </w:tbl>
    <w:p w:rsidR="00851981" w:rsidRPr="00851981" w:rsidRDefault="00851981" w:rsidP="00851981">
      <w:pPr>
        <w:numPr>
          <w:ilvl w:val="0"/>
          <w:numId w:val="11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Оценочные обязательства и резервы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На 31.12.2024 сформировано оценочное обязательство на оплату очередных отпусков работников в сумме 8 200 000 рублей, количество неоплаченных дней отпуска — 75, срок исполнения — 2025 год.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Резерв по сомнительным долгам сформирован на сумму 700 000 руб. в связи с наличием просроченной и ничем не обеспеченной задолженности ООО «Стройматериалы» в сумме 600 000 рублей.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Резерв под снижение стоимости МПЗ в 2024 году в организации не создавался, так как МПЗ не имеют признаков обесценивания.</w:t>
      </w:r>
    </w:p>
    <w:p w:rsidR="00851981" w:rsidRPr="00851981" w:rsidRDefault="00851981" w:rsidP="00851981">
      <w:pPr>
        <w:numPr>
          <w:ilvl w:val="0"/>
          <w:numId w:val="11"/>
        </w:numPr>
        <w:spacing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Заработная плата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Кредиторская задолженность по зарплате на 31.12.2024 составила 4 100 000 руб. (оплата за декабрь 2024 г., по сроку: 10.01.2025). Текучесть кадров в отчетном периоде составила 15,5%. Списочная численность работников на 31.12.2024 — 180 чел. Среднемесячная зарплата — 27 000 руб.</w:t>
      </w:r>
    </w:p>
    <w:p w:rsidR="00851981" w:rsidRDefault="00851981" w:rsidP="00851981">
      <w:pPr>
        <w:spacing w:before="100" w:beforeAutospacing="1" w:after="100" w:afterAutospacing="1" w:line="240" w:lineRule="auto"/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</w:pPr>
    </w:p>
    <w:p w:rsidR="00851981" w:rsidRPr="00851981" w:rsidRDefault="00851981" w:rsidP="00851981">
      <w:pPr>
        <w:spacing w:before="100" w:beforeAutospacing="1" w:after="100" w:afterAutospacing="1" w:line="240" w:lineRule="auto"/>
        <w:rPr>
          <w:rFonts w:ascii="Inter" w:eastAsia="Times New Roman" w:hAnsi="Inter"/>
          <w:color w:val="404040"/>
          <w:sz w:val="24"/>
          <w:szCs w:val="24"/>
          <w:lang w:val="ru-RU" w:eastAsia="ru-RU"/>
        </w:rPr>
      </w:pPr>
      <w:r w:rsidRPr="00851981">
        <w:rPr>
          <w:rFonts w:ascii="Inter" w:eastAsia="Times New Roman" w:hAnsi="Inter"/>
          <w:b/>
          <w:bCs/>
          <w:color w:val="404040"/>
          <w:sz w:val="24"/>
          <w:szCs w:val="24"/>
          <w:lang w:val="ru-RU" w:eastAsia="ru-RU"/>
        </w:rPr>
        <w:t>Директор ООО «Снежный Лотос»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/ подпись / Иванов А.А.</w:t>
      </w:r>
      <w:r w:rsidRPr="00851981">
        <w:rPr>
          <w:rFonts w:ascii="Inter" w:eastAsia="Times New Roman" w:hAnsi="Inter"/>
          <w:color w:val="404040"/>
          <w:sz w:val="24"/>
          <w:szCs w:val="24"/>
          <w:lang w:val="ru-RU" w:eastAsia="ru-RU"/>
        </w:rPr>
        <w:br/>
        <w:t>12.03.2025</w:t>
      </w:r>
    </w:p>
    <w:p w:rsidR="00782E64" w:rsidRPr="00851981" w:rsidRDefault="00782E64" w:rsidP="00851981">
      <w:pPr>
        <w:rPr>
          <w:lang w:val="ru-RU"/>
        </w:rPr>
      </w:pPr>
    </w:p>
    <w:sectPr w:rsidR="00782E64" w:rsidRPr="00851981" w:rsidSect="00634E9B">
      <w:endnotePr>
        <w:numFmt w:val="decimal"/>
      </w:endnotePr>
      <w:pgSz w:w="11906" w:h="16838"/>
      <w:pgMar w:top="397" w:right="706" w:bottom="397" w:left="80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1A1D10"/>
    <w:multiLevelType w:val="multilevel"/>
    <w:tmpl w:val="BC1A1D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E219F4"/>
    <w:multiLevelType w:val="multilevel"/>
    <w:tmpl w:val="C3F64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622B"/>
    <w:multiLevelType w:val="multilevel"/>
    <w:tmpl w:val="ACEC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152E7"/>
    <w:multiLevelType w:val="multilevel"/>
    <w:tmpl w:val="4EA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52E33"/>
    <w:multiLevelType w:val="multilevel"/>
    <w:tmpl w:val="3AB4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BFF4E"/>
    <w:multiLevelType w:val="multilevel"/>
    <w:tmpl w:val="575BFF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5A1A512D"/>
    <w:multiLevelType w:val="multilevel"/>
    <w:tmpl w:val="D122B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8A41C"/>
    <w:multiLevelType w:val="multilevel"/>
    <w:tmpl w:val="5C08A4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18265AE"/>
    <w:multiLevelType w:val="multilevel"/>
    <w:tmpl w:val="618265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1F91B39"/>
    <w:multiLevelType w:val="multilevel"/>
    <w:tmpl w:val="456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10C32"/>
    <w:multiLevelType w:val="multilevel"/>
    <w:tmpl w:val="156E7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420"/>
  <w:drawingGridHorizontalSpacing w:val="283"/>
  <w:drawingGridVerticalSpacing w:val="156"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9C"/>
    <w:rsid w:val="00557E9C"/>
    <w:rsid w:val="00631C7B"/>
    <w:rsid w:val="00634E9B"/>
    <w:rsid w:val="00782E64"/>
    <w:rsid w:val="00851981"/>
    <w:rsid w:val="00997005"/>
    <w:rsid w:val="176C567F"/>
    <w:rsid w:val="2E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F3D1C-2367-48EC-92C2-A9AF38B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pPr>
      <w:spacing w:beforeAutospacing="1" w:afterAutospacing="1"/>
    </w:pPr>
    <w:rPr>
      <w:kern w:val="1"/>
      <w:sz w:val="24"/>
      <w:szCs w:val="24"/>
      <w:lang w:val="en-US" w:eastAsia="zh-CN"/>
    </w:rPr>
  </w:style>
  <w:style w:type="character" w:styleId="a4">
    <w:name w:val="Emphasis"/>
    <w:basedOn w:val="a0"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737</Words>
  <Characters>4207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Pavel .</cp:lastModifiedBy>
  <cp:revision>6</cp:revision>
  <dcterms:created xsi:type="dcterms:W3CDTF">2019-04-09T09:43:00Z</dcterms:created>
  <dcterms:modified xsi:type="dcterms:W3CDTF">2025-02-24T14:47:00Z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